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2E7D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隐名合伙契约书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隐名合伙人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（以下简称为乙方），出名营业人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（以下简称甲方），兹为隐名合伙经当事人间同意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缔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行契约条件于下：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甲方开设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商行专营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事业计共资本金人民币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元整，除甲方自出人民币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元整外，余人民币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元整，由乙方于本契约成立同时一次交清甲乙方各自确认。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乙方投入资本人民币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元整后，即为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商行的隐名合伙人而甲方认诺。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甲方应每届事务年终，开具财产目录借贷对照表，以及营业损益计算书交付乙方查核。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前条查核时，如乙方发现疑义之处，即可到商行查阅合伙人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帐簿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，并检查其事务及财产的状况。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本隐名合伙人损益应按照合伙出资额比例分配负担。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前条利益的分配，应于损益计算后，五日内由甲方支付乙方，而未支付的分配金，乙方可充作其出资的增加于甲方同意。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关于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商行营业事务，均由甲方执行，而乙方不得参与事务的执行。但乙方得随时查阅合伙人的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帐簿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，并检查其事务及财产的状况。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隐名合伙期间中，如遇亏蚀时，如果其财产不足资本额半数的，甲方应即通知乙方，而乙方可终止契约。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甲方与乙方所出的资本，以甲方为一的比例如遇亏蚀时，应以此计算分担。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本隐名合伙有效期间，自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日止共为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乙方如遇不得已事由，须中途终止契约的，应于年底为之；但须于两个月前通知甲方。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契约终止时，甲方应返还乙方所出的资本金额，并应支付应得的利益金，担因亏损而减少资本的，只得返还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其余剩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的存额。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甲乙双方间所出的资本，如不幸亏蚀净尽的，以契约终止论；但双方愿意继续出资的，不在此限。且甲方有意继续经营，而乙方亦不愿意再出资加入时，甲方不得拒绝。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甲方如中途欲将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商行出让于他人时，应先通知乙方，如乙方愿意按照时价受让时，应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尽先使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乙方受让，</w:t>
      </w:r>
      <w:r>
        <w:rPr>
          <w:rFonts w:ascii="宋体" w:hint="eastAsia"/>
          <w:kern w:val="0"/>
          <w:sz w:val="24"/>
          <w:szCs w:val="20"/>
          <w:lang w:val="zh-CN"/>
        </w:rPr>
        <w:t>甲方不得无正当理由拒绝。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甲方如违背前条或因乙方不愿意受让，将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商行股份出让于他人的，出让之日即为本丰契约终止之日。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甲方在契约存续中发生不测的乙方可终止契约。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本契约未订明事项依民法或有关半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规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办理。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本契约一式二份，双方当事人各执一份为凭。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出名营业人（甲方）：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商行名称：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商行地址：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负责人：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隐名合伙人（乙方）：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92E7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92E7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92E7D" w:rsidRDefault="00092E7D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92E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7D" w:rsidRDefault="00092E7D" w:rsidP="003448C5">
      <w:r>
        <w:separator/>
      </w:r>
    </w:p>
  </w:endnote>
  <w:endnote w:type="continuationSeparator" w:id="0">
    <w:p w:rsidR="00092E7D" w:rsidRDefault="00092E7D" w:rsidP="003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7D" w:rsidRDefault="00092E7D" w:rsidP="003448C5">
      <w:r>
        <w:separator/>
      </w:r>
    </w:p>
  </w:footnote>
  <w:footnote w:type="continuationSeparator" w:id="0">
    <w:p w:rsidR="00092E7D" w:rsidRDefault="00092E7D" w:rsidP="003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8C5"/>
    <w:rsid w:val="00092E7D"/>
    <w:rsid w:val="003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34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448C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448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2024-06-27T00:35:00Z</dcterms:created>
  <dcterms:modified xsi:type="dcterms:W3CDTF">2024-06-27T00:35:00Z</dcterms:modified>
</cp:coreProperties>
</file>