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08E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4"/>
          <w:szCs w:val="20"/>
          <w:lang w:val="zh-CN"/>
        </w:rPr>
        <w:t>机器买卖契约书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立契约人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（以下简称乙方）兹就机器买卖事宜，甲方卖出、乙方买进。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甲乙双方约定有关后记机器的买卖事宜甲方卖出，乙方买进。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买卖总金额为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元整。乙方依照下列方式支付款项予甲方。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本日（订约日）先交付定金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元整。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甲方必须在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日前将后记的机器安装于乙方总公司所在地的工厂。乙方未支付的余款，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交货时一次付清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甲方于第二条第（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）项乙方支付余款同时，应将后记机器的所有权移转予乙方。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在甲方尚未将机器交付予乙方之前，若有故障、毁损或遗失时，应由甲方负责。亦即乙方免除支付价金义务。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甲方保证后记机器所具有的性能与说明书相符，并须在第三条交付前先行试机，以证明其性能。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有关后记机器的品质、性能，由甲方对乙方保证，并以三年为限。在此期间，若非乙方的过失而发生自然故障，甲方负有赔偿损失及修理的义务。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若发生第六条的情形，虽经甲方修复，而机器</w:t>
      </w:r>
      <w:r>
        <w:rPr>
          <w:rFonts w:ascii="宋体" w:hint="eastAsia"/>
          <w:kern w:val="0"/>
          <w:sz w:val="24"/>
          <w:szCs w:val="20"/>
          <w:lang w:val="zh-CN"/>
        </w:rPr>
        <w:t>仍然无法操作，或其性能降低长达一个月，乙方可依据下列方式选择其一，向甲方提出要求。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换取同种类机器。其条件为乙方须就已使用该机器的时间长短支付货款，每一年乙方应支付甲方相当于第二条总金额五分之一款项。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退还机器。但甲方得扣除乙方使用机器所应付如前（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）之款项，其余定金退还予乙方。有关使用机器的时间，其计算方法则无论乙方是否使用，规定从第三条甲方交付机器日始至乙方提出退还机器要求之日止，为使用时间。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乙方若未能在第二条日期前支付余额以交换机器，则甲方无需催告，本</w:t>
      </w:r>
      <w:r>
        <w:rPr>
          <w:rFonts w:ascii="宋体" w:hint="eastAsia"/>
          <w:kern w:val="0"/>
          <w:sz w:val="24"/>
          <w:szCs w:val="20"/>
          <w:lang w:val="zh-CN"/>
        </w:rPr>
        <w:t>契约视同作废，甲方得将该机器搬回。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有关前述甲方的机器搬运费、安装费、以及搬回时所需的一切费用，应由乙方负担。甲方除上述权利外，尚可将定金没收，作为损害赔偿。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甲方若未能在第二条所列日期前交付机器，乙方得向甲方催告，于十日内交付机器。在此期限内，甲方若仍然无法交付，则本契约视同作废。乙方得请求甲方退还第二条之定金、以及与定金同额的损失赔偿。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本契约一式三份，当事人及见证人各执一份为凭。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卖方（甲方）：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地址：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买方（乙方）：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见证人（丙方）：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CF08E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</w:rPr>
      </w:pPr>
    </w:p>
    <w:p w:rsidR="00000000" w:rsidRDefault="00CF08E7">
      <w:pPr>
        <w:spacing w:line="480" w:lineRule="auto"/>
        <w:jc w:val="right"/>
        <w:rPr>
          <w:rFonts w:ascii="宋体" w:hint="eastAsia"/>
          <w:kern w:val="0"/>
          <w:sz w:val="24"/>
          <w:szCs w:val="20"/>
          <w:u w:val="single"/>
          <w:lang w:val="zh-CN"/>
        </w:rPr>
      </w:pPr>
    </w:p>
    <w:p w:rsidR="00CF08E7" w:rsidRDefault="00CF08E7">
      <w:pPr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CF08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E7" w:rsidRDefault="00CF08E7" w:rsidP="009356BA">
      <w:r>
        <w:separator/>
      </w:r>
    </w:p>
  </w:endnote>
  <w:endnote w:type="continuationSeparator" w:id="0">
    <w:p w:rsidR="00CF08E7" w:rsidRDefault="00CF08E7" w:rsidP="009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E7" w:rsidRDefault="00CF08E7" w:rsidP="009356BA">
      <w:r>
        <w:separator/>
      </w:r>
    </w:p>
  </w:footnote>
  <w:footnote w:type="continuationSeparator" w:id="0">
    <w:p w:rsidR="00CF08E7" w:rsidRDefault="00CF08E7" w:rsidP="0093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21223C3"/>
    <w:multiLevelType w:val="hybridMultilevel"/>
    <w:tmpl w:val="DF545B28"/>
    <w:lvl w:ilvl="0" w:tplc="BC10427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47CC1E18"/>
    <w:multiLevelType w:val="hybridMultilevel"/>
    <w:tmpl w:val="20DC2366"/>
    <w:lvl w:ilvl="0" w:tplc="AEB6EAD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A"/>
    <w:rsid w:val="009356BA"/>
    <w:rsid w:val="00C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3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56B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56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3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56B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56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2024-05-28T07:57:00Z</dcterms:created>
  <dcterms:modified xsi:type="dcterms:W3CDTF">2024-05-28T07:57:00Z</dcterms:modified>
</cp:coreProperties>
</file>