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6D6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出口合同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firstLine="480"/>
        <w:rPr>
          <w:rFonts w:hAnsi="Times New Roman" w:hint="eastAsia"/>
          <w:szCs w:val="20"/>
          <w:lang w:val="zh-CN"/>
        </w:rPr>
      </w:pPr>
      <w:r>
        <w:rPr>
          <w:rFonts w:hAnsi="Times New Roman" w:hint="eastAsia"/>
          <w:szCs w:val="20"/>
          <w:lang w:val="zh-CN"/>
        </w:rPr>
        <w:t>双方同意按下列条款由卖方出售，买方购进下列货物：</w:t>
      </w:r>
    </w:p>
    <w:p w:rsidR="00000000" w:rsidRDefault="00466D62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1664"/>
        <w:gridCol w:w="2004"/>
        <w:gridCol w:w="18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(1)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货物名称、规格、包装及</w:t>
            </w: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唛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头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(2)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(3)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(4)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总值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包装：小捆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70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～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120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千克及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/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或大捆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500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～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1000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千克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卖方有权在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3%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以内多装或少装</w:t>
            </w:r>
          </w:p>
        </w:tc>
        <w:tc>
          <w:tcPr>
            <w:tcW w:w="4140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466D62">
            <w:pPr>
              <w:autoSpaceDE w:val="0"/>
              <w:autoSpaceDN w:val="0"/>
              <w:adjustRightInd w:val="0"/>
              <w:spacing w:line="48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上述价格内包括给买方佣金</w:t>
            </w:r>
            <w:r>
              <w:rPr>
                <w:rFonts w:ascii="宋体"/>
                <w:kern w:val="0"/>
                <w:sz w:val="24"/>
                <w:szCs w:val="20"/>
                <w:u w:val="single"/>
                <w:lang w:val="zh-CN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宋体"/>
                <w:kern w:val="0"/>
                <w:sz w:val="24"/>
                <w:szCs w:val="20"/>
                <w:u w:val="single"/>
                <w:lang w:val="zh-CN"/>
              </w:rPr>
              <w:t xml:space="preserve"> 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%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按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FOB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值计算</w:t>
            </w:r>
          </w:p>
        </w:tc>
      </w:tr>
    </w:tbl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）装运期限：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）装运口岸：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7</w:t>
      </w:r>
      <w:r>
        <w:rPr>
          <w:rFonts w:ascii="宋体" w:hint="eastAsia"/>
          <w:kern w:val="0"/>
          <w:sz w:val="24"/>
          <w:szCs w:val="20"/>
          <w:lang w:val="zh-CN"/>
        </w:rPr>
        <w:t>）目的口岸：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8</w:t>
      </w:r>
      <w:r>
        <w:rPr>
          <w:rFonts w:ascii="宋体" w:hint="eastAsia"/>
          <w:kern w:val="0"/>
          <w:sz w:val="24"/>
          <w:szCs w:val="20"/>
          <w:lang w:val="zh-CN"/>
        </w:rPr>
        <w:t>）保险：由卖方按发票金额</w:t>
      </w:r>
      <w:r>
        <w:rPr>
          <w:rFonts w:ascii="宋体"/>
          <w:kern w:val="0"/>
          <w:sz w:val="24"/>
          <w:szCs w:val="20"/>
          <w:lang w:val="zh-CN"/>
        </w:rPr>
        <w:t>110</w:t>
      </w:r>
      <w:r>
        <w:rPr>
          <w:rFonts w:ascii="宋体" w:hint="eastAsia"/>
          <w:kern w:val="0"/>
          <w:sz w:val="24"/>
          <w:szCs w:val="20"/>
          <w:lang w:val="zh-CN"/>
        </w:rPr>
        <w:t>％投保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9</w:t>
      </w:r>
      <w:r>
        <w:rPr>
          <w:rFonts w:ascii="宋体" w:hint="eastAsia"/>
          <w:kern w:val="0"/>
          <w:sz w:val="24"/>
          <w:szCs w:val="20"/>
          <w:lang w:val="zh-CN"/>
        </w:rPr>
        <w:t>）付款条件：买方应通过买卖双方同意的银行，开立以卖方为受益的人，不可撤销的、可转让和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可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分割的、允许分批装运和转船的信用证。该信用证凭装运单据在中国的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中国银行见</w:t>
      </w:r>
      <w:r>
        <w:rPr>
          <w:rFonts w:ascii="宋体" w:hint="eastAsia"/>
          <w:kern w:val="0"/>
          <w:sz w:val="24"/>
          <w:szCs w:val="20"/>
          <w:lang w:val="zh-CN"/>
        </w:rPr>
        <w:t>单即付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该信用证必须在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前开出。信用证有效期为装船后十五天在中国到期。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）单据：卖方应向议付银行提供已装船清洁提单、发票，装箱单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重量单：如果本合同按</w:t>
      </w:r>
      <w:r>
        <w:rPr>
          <w:rFonts w:ascii="宋体"/>
          <w:kern w:val="0"/>
          <w:sz w:val="24"/>
          <w:szCs w:val="20"/>
          <w:lang w:val="zh-CN"/>
        </w:rPr>
        <w:t>CIF</w:t>
      </w:r>
      <w:r>
        <w:rPr>
          <w:rFonts w:ascii="宋体" w:hint="eastAsia"/>
          <w:kern w:val="0"/>
          <w:sz w:val="24"/>
          <w:szCs w:val="20"/>
          <w:lang w:val="zh-CN"/>
        </w:rPr>
        <w:t>条件，应再提供可转让的保险单或保险凭证。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11</w:t>
      </w:r>
      <w:r>
        <w:rPr>
          <w:rFonts w:ascii="宋体" w:hint="eastAsia"/>
          <w:kern w:val="0"/>
          <w:sz w:val="24"/>
          <w:szCs w:val="20"/>
          <w:lang w:val="zh-CN"/>
        </w:rPr>
        <w:t>）装运条件：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）载运船只由卖方安排，允许分批装运并允许转船。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）卖方于货物装船后，应将合同号码、品名、数量、船名、装船日期以电报通知买方。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12</w:t>
      </w:r>
      <w:r>
        <w:rPr>
          <w:rFonts w:ascii="宋体" w:hint="eastAsia"/>
          <w:kern w:val="0"/>
          <w:sz w:val="24"/>
          <w:szCs w:val="20"/>
          <w:lang w:val="zh-CN"/>
        </w:rPr>
        <w:t>）品质</w:t>
      </w:r>
      <w:r>
        <w:rPr>
          <w:rFonts w:ascii="宋体" w:hint="eastAsia"/>
          <w:kern w:val="0"/>
          <w:sz w:val="24"/>
          <w:szCs w:val="20"/>
          <w:lang w:val="zh-CN"/>
        </w:rPr>
        <w:t>和数量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重量的异议与索赔：货到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目的口岸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后，买方如发现货物品质及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或数量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重量与合同规定不符，附属于保险公司及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或船公司的责任外，买方可以凭双方同意的检验机构出具的检验证明向卖方提出异议。品质异议须于货到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目的口岸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之日起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天内提出，数量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重量异议须于货到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目的口岸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之日起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天内提出。卖方应于收到异议后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天内答复买方。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13</w:t>
      </w:r>
      <w:r>
        <w:rPr>
          <w:rFonts w:ascii="宋体" w:hint="eastAsia"/>
          <w:kern w:val="0"/>
          <w:sz w:val="24"/>
          <w:szCs w:val="20"/>
          <w:lang w:val="zh-CN"/>
        </w:rPr>
        <w:t>）人力不可抗拒：由于人力不可抗拒事故，使卖方不能在本合同规定期限内交货或者不能交货，卖方不负责任。但卖方必须立即以电报通知买方。如买方提出要求，卖方应以挂号函向买方提供由中国国际贸易</w:t>
      </w:r>
      <w:r>
        <w:rPr>
          <w:rFonts w:ascii="宋体" w:hint="eastAsia"/>
          <w:kern w:val="0"/>
          <w:sz w:val="24"/>
          <w:szCs w:val="20"/>
          <w:lang w:val="zh-CN"/>
        </w:rPr>
        <w:t>促进委员会或有关机构出具的事故的证明文件。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14</w:t>
      </w:r>
      <w:r>
        <w:rPr>
          <w:rFonts w:ascii="宋体" w:hint="eastAsia"/>
          <w:kern w:val="0"/>
          <w:sz w:val="24"/>
          <w:szCs w:val="20"/>
          <w:lang w:val="zh-CN"/>
        </w:rPr>
        <w:t>）仲裁：凡因执行本合同或与本合同有关事项所发生的一切争执，应由双方通过友好方式协商解决。如果不能取得协议时，则在被告国家根据被告国家仲裁机构的仲裁程序规则进行仲裁。仲裁决定是终局的，对双方具有同等的约束力，仲裁费用除非仲裁机构另有决定外，均由败诉一方负担。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）备注：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（签字）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（签字）</w:t>
      </w: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66D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466D62" w:rsidRDefault="00466D62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日订立</w:t>
      </w:r>
    </w:p>
    <w:sectPr w:rsidR="00466D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62" w:rsidRDefault="00466D62" w:rsidP="00375F2F">
      <w:r>
        <w:separator/>
      </w:r>
    </w:p>
  </w:endnote>
  <w:endnote w:type="continuationSeparator" w:id="0">
    <w:p w:rsidR="00466D62" w:rsidRDefault="00466D62" w:rsidP="003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62" w:rsidRDefault="00466D62" w:rsidP="00375F2F">
      <w:r>
        <w:separator/>
      </w:r>
    </w:p>
  </w:footnote>
  <w:footnote w:type="continuationSeparator" w:id="0">
    <w:p w:rsidR="00466D62" w:rsidRDefault="00466D62" w:rsidP="0037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2F"/>
    <w:rsid w:val="00375F2F"/>
    <w:rsid w:val="004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37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5F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5F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37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5F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5F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2024-05-28T07:08:00Z</dcterms:created>
  <dcterms:modified xsi:type="dcterms:W3CDTF">2024-05-28T07:08:00Z</dcterms:modified>
</cp:coreProperties>
</file>