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717F">
      <w:pPr>
        <w:autoSpaceDE w:val="0"/>
        <w:autoSpaceDN w:val="0"/>
        <w:adjustRightInd w:val="0"/>
        <w:jc w:val="center"/>
        <w:rPr>
          <w:rFonts w:ascii="黑体" w:eastAsia="黑体"/>
          <w:kern w:val="0"/>
          <w:sz w:val="48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8"/>
          <w:szCs w:val="20"/>
          <w:lang w:val="zh-CN"/>
        </w:rPr>
        <w:t>买卖合同</w:t>
      </w:r>
      <w:r>
        <w:rPr>
          <w:rFonts w:ascii="黑体" w:eastAsia="黑体" w:hint="eastAsia"/>
          <w:kern w:val="0"/>
          <w:sz w:val="48"/>
          <w:szCs w:val="20"/>
          <w:lang w:val="zh-CN"/>
        </w:rPr>
        <w:t>（三）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合同编号：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p w:rsidR="00000000" w:rsidRDefault="007C717F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签订日期：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p w:rsidR="00000000" w:rsidRDefault="007C717F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签订地点：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经供方：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需方：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充分协商，签订本合同。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在执行中，任何一方不履行合同，应承担违约责任。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1.</w:t>
      </w:r>
      <w:r>
        <w:rPr>
          <w:rFonts w:ascii="宋体" w:hint="eastAsia"/>
          <w:kern w:val="0"/>
          <w:sz w:val="24"/>
          <w:szCs w:val="20"/>
          <w:lang w:val="zh-CN"/>
        </w:rPr>
        <w:t>商品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品名</w:t>
            </w: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规格</w:t>
            </w: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单位</w:t>
            </w: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数量</w:t>
            </w: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单价</w:t>
            </w: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金额</w:t>
            </w:r>
          </w:p>
        </w:tc>
        <w:tc>
          <w:tcPr>
            <w:tcW w:w="1362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备注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9528" w:type="dxa"/>
            <w:gridSpan w:val="7"/>
            <w:vAlign w:val="center"/>
          </w:tcPr>
          <w:p w:rsidR="00000000" w:rsidRDefault="007C71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货款共计人民币（大写）：</w:t>
            </w:r>
          </w:p>
        </w:tc>
      </w:tr>
    </w:tbl>
    <w:p w:rsidR="00000000" w:rsidRDefault="007C717F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 w:hint="eastAsia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2.</w:t>
      </w:r>
      <w:r>
        <w:rPr>
          <w:rFonts w:ascii="宋体" w:hint="eastAsia"/>
          <w:kern w:val="0"/>
          <w:sz w:val="24"/>
          <w:szCs w:val="20"/>
          <w:lang w:val="zh-CN"/>
        </w:rPr>
        <w:t>商品质量：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3.</w:t>
      </w:r>
      <w:r>
        <w:rPr>
          <w:rFonts w:ascii="宋体" w:hint="eastAsia"/>
          <w:kern w:val="0"/>
          <w:sz w:val="24"/>
          <w:szCs w:val="20"/>
          <w:lang w:val="zh-CN"/>
        </w:rPr>
        <w:t>作价办法：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4.</w:t>
      </w:r>
      <w:r>
        <w:rPr>
          <w:rFonts w:ascii="宋体" w:hint="eastAsia"/>
          <w:kern w:val="0"/>
          <w:sz w:val="24"/>
          <w:szCs w:val="20"/>
          <w:lang w:val="zh-CN"/>
        </w:rPr>
        <w:t>交货时间：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5.</w:t>
      </w:r>
      <w:r>
        <w:rPr>
          <w:rFonts w:ascii="宋体" w:hint="eastAsia"/>
          <w:kern w:val="0"/>
          <w:sz w:val="24"/>
          <w:szCs w:val="20"/>
          <w:lang w:val="zh-CN"/>
        </w:rPr>
        <w:t>包装要求及费用负担：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6.</w:t>
      </w:r>
      <w:r>
        <w:rPr>
          <w:rFonts w:ascii="宋体" w:hint="eastAsia"/>
          <w:kern w:val="0"/>
          <w:sz w:val="24"/>
          <w:szCs w:val="20"/>
          <w:lang w:val="zh-CN"/>
        </w:rPr>
        <w:t>质量检验及验收方式：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7.</w:t>
      </w:r>
      <w:r>
        <w:rPr>
          <w:rFonts w:ascii="宋体" w:hint="eastAsia"/>
          <w:kern w:val="0"/>
          <w:sz w:val="24"/>
          <w:szCs w:val="20"/>
          <w:lang w:val="zh-CN"/>
        </w:rPr>
        <w:t>结算方式：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8.</w:t>
      </w:r>
      <w:r>
        <w:rPr>
          <w:rFonts w:ascii="宋体" w:hint="eastAsia"/>
          <w:kern w:val="0"/>
          <w:sz w:val="24"/>
          <w:szCs w:val="20"/>
          <w:lang w:val="zh-CN"/>
        </w:rPr>
        <w:t>运输办法：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9.</w:t>
      </w:r>
      <w:r>
        <w:rPr>
          <w:rFonts w:ascii="宋体" w:hint="eastAsia"/>
          <w:kern w:val="0"/>
          <w:sz w:val="24"/>
          <w:szCs w:val="20"/>
          <w:lang w:val="zh-CN"/>
        </w:rPr>
        <w:t>供方违约责任：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）产品品种、规格、质量不符合规定，需方同意收货的，按质论价；需方不同意收货的，由供方负责处理，并承担因此造成的损失。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）未按合同规定的数量交货，而需方仍有需要的，应照数补交，按延期交货处理。完不成合同任务，不能交货的，应偿付需方应交货总值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％的违约金。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）包装不符合规定，必须返修或重新包装，应承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担支付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的费用和损失；需方不要求返修或重新包装，要求赔偿损失的应予赔偿损失。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4</w:t>
      </w:r>
      <w:r>
        <w:rPr>
          <w:rFonts w:ascii="宋体" w:hint="eastAsia"/>
          <w:kern w:val="0"/>
          <w:sz w:val="24"/>
          <w:szCs w:val="20"/>
          <w:lang w:val="zh-CN"/>
        </w:rPr>
        <w:t>）未按合同规</w:t>
      </w:r>
      <w:r>
        <w:rPr>
          <w:rFonts w:ascii="宋体" w:hint="eastAsia"/>
          <w:kern w:val="0"/>
          <w:sz w:val="24"/>
          <w:szCs w:val="20"/>
          <w:lang w:val="zh-CN"/>
        </w:rPr>
        <w:t>定时间交货，每延期交货一个月，应偿付需方以延期交货部分货款总额的违约金。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）不符合同规定的产品，在需方代保管期内，应偿付需方实际支付的保管、保养费。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6</w:t>
      </w:r>
      <w:r>
        <w:rPr>
          <w:rFonts w:ascii="宋体" w:hint="eastAsia"/>
          <w:kern w:val="0"/>
          <w:sz w:val="24"/>
          <w:szCs w:val="20"/>
          <w:lang w:val="zh-CN"/>
        </w:rPr>
        <w:t>）产品错发到货地点或接货单位，除按合同规定负责运达到货地点或接货单位外，并承担因而多付的运杂费和造成延期交货的责任。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10.</w:t>
      </w:r>
      <w:r>
        <w:rPr>
          <w:rFonts w:ascii="宋体" w:hint="eastAsia"/>
          <w:kern w:val="0"/>
          <w:sz w:val="24"/>
          <w:szCs w:val="20"/>
          <w:lang w:val="zh-CN"/>
        </w:rPr>
        <w:t>需方违约责任：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）变更产品品种、规格、质量或包装规格给供方造成损失时，应赔偿供方实际损失。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）中途无故退货，应偿付供方以退货部分货款总值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％的违约金。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）自提产品未按规定日期提货，每延期一天，按照银行延期付款规定，偿付供方违约金。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4</w:t>
      </w:r>
      <w:r>
        <w:rPr>
          <w:rFonts w:ascii="宋体" w:hint="eastAsia"/>
          <w:kern w:val="0"/>
          <w:sz w:val="24"/>
          <w:szCs w:val="20"/>
          <w:lang w:val="zh-CN"/>
        </w:rPr>
        <w:t>）未按合同规定的验收办法和时间验收，应偿付供方因延期验收造成的损失；无故延期验收超过三个月即按中途退货处理。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）未按合同规定日期付款，每延期一天，按照银行延期付款规定偿付供方违约金。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6</w:t>
      </w:r>
      <w:r>
        <w:rPr>
          <w:rFonts w:ascii="宋体" w:hint="eastAsia"/>
          <w:kern w:val="0"/>
          <w:sz w:val="24"/>
          <w:szCs w:val="20"/>
          <w:lang w:val="zh-CN"/>
        </w:rPr>
        <w:t>）实行送货或代运的产品无故拒绝接货，应承担因此造成的损失和运输部门的罚金。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11.</w:t>
      </w:r>
      <w:r>
        <w:rPr>
          <w:rFonts w:ascii="宋体" w:hint="eastAsia"/>
          <w:kern w:val="0"/>
          <w:sz w:val="24"/>
          <w:szCs w:val="20"/>
          <w:lang w:val="zh-CN"/>
        </w:rPr>
        <w:t>风险的承担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12.</w:t>
      </w:r>
      <w:r>
        <w:rPr>
          <w:rFonts w:ascii="宋体" w:hint="eastAsia"/>
          <w:kern w:val="0"/>
          <w:sz w:val="24"/>
          <w:szCs w:val="20"/>
          <w:lang w:val="zh-CN"/>
        </w:rPr>
        <w:t>争议解决的办法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13.</w:t>
      </w:r>
      <w:r>
        <w:rPr>
          <w:rFonts w:ascii="宋体" w:hint="eastAsia"/>
          <w:kern w:val="0"/>
          <w:sz w:val="24"/>
          <w:szCs w:val="20"/>
          <w:lang w:val="zh-CN"/>
        </w:rPr>
        <w:t>供需双方由于人力不可抗拒和非企业本身造成的原因而不</w:t>
      </w:r>
      <w:r>
        <w:rPr>
          <w:rFonts w:ascii="宋体" w:hint="eastAsia"/>
          <w:kern w:val="0"/>
          <w:sz w:val="24"/>
          <w:szCs w:val="20"/>
          <w:lang w:val="zh-CN"/>
        </w:rPr>
        <w:t>能履行合同时，应当立即通知对方，经双方协商或合同管理机关查实证明，可免予承担经济责任。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14.</w:t>
      </w:r>
      <w:r>
        <w:rPr>
          <w:rFonts w:ascii="宋体" w:hint="eastAsia"/>
          <w:kern w:val="0"/>
          <w:sz w:val="24"/>
          <w:szCs w:val="20"/>
          <w:lang w:val="zh-CN"/>
        </w:rPr>
        <w:t>上述条款如有未尽事宜，应以书面补充，作为附件。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有效日期自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日起至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日止。</w:t>
      </w:r>
    </w:p>
    <w:p w:rsidR="00000000" w:rsidRDefault="007C717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4" w:type="dxa"/>
          </w:tcPr>
          <w:p w:rsidR="00000000" w:rsidRDefault="007C717F">
            <w:pPr>
              <w:pStyle w:val="a3"/>
              <w:widowControl w:val="0"/>
              <w:autoSpaceDE w:val="0"/>
              <w:autoSpaceDN w:val="0"/>
              <w:adjustRightInd w:val="0"/>
              <w:spacing w:beforeLines="100" w:before="240" w:beforeAutospacing="0" w:after="0" w:afterAutospacing="0" w:line="480" w:lineRule="auto"/>
              <w:rPr>
                <w:rFonts w:hAnsi="Times New Roman" w:hint="eastAsia"/>
                <w:szCs w:val="20"/>
                <w:u w:val="single"/>
                <w:lang w:val="zh-CN"/>
              </w:rPr>
            </w:pPr>
            <w:r>
              <w:rPr>
                <w:rFonts w:hAnsi="Times New Roman" w:hint="eastAsia"/>
                <w:szCs w:val="20"/>
                <w:lang w:val="zh-CN"/>
              </w:rPr>
              <w:t>供方：</w:t>
            </w:r>
            <w:r>
              <w:rPr>
                <w:rFonts w:hAnsi="Times New Roman" w:hint="eastAsia"/>
                <w:szCs w:val="20"/>
                <w:u w:val="single"/>
                <w:lang w:val="zh-CN"/>
              </w:rPr>
              <w:t xml:space="preserve">                             </w:t>
            </w:r>
          </w:p>
          <w:p w:rsidR="00000000" w:rsidRDefault="007C717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代表：</w:t>
            </w:r>
            <w:r>
              <w:rPr>
                <w:rFonts w:hint="eastAsia"/>
                <w:szCs w:val="20"/>
                <w:u w:val="single"/>
                <w:lang w:val="zh-CN"/>
              </w:rPr>
              <w:t xml:space="preserve">                             </w:t>
            </w:r>
          </w:p>
          <w:p w:rsidR="00000000" w:rsidRDefault="007C717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地址：</w:t>
            </w:r>
            <w:r>
              <w:rPr>
                <w:rFonts w:hint="eastAsia"/>
                <w:szCs w:val="20"/>
                <w:u w:val="single"/>
                <w:lang w:val="zh-CN"/>
              </w:rPr>
              <w:t xml:space="preserve">                             </w:t>
            </w:r>
          </w:p>
          <w:p w:rsidR="00000000" w:rsidRDefault="007C717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电话：</w:t>
            </w:r>
            <w:r>
              <w:rPr>
                <w:rFonts w:hint="eastAsia"/>
                <w:szCs w:val="20"/>
                <w:u w:val="single"/>
                <w:lang w:val="zh-CN"/>
              </w:rPr>
              <w:t xml:space="preserve">                </w:t>
            </w:r>
            <w:r>
              <w:rPr>
                <w:rFonts w:hint="eastAsia"/>
                <w:szCs w:val="20"/>
                <w:u w:val="single"/>
                <w:lang w:val="zh-CN"/>
              </w:rPr>
              <w:t xml:space="preserve">             </w:t>
            </w:r>
          </w:p>
          <w:p w:rsidR="00000000" w:rsidRDefault="007C717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开户银行：</w:t>
            </w:r>
            <w:r>
              <w:rPr>
                <w:rFonts w:hint="eastAsia"/>
                <w:szCs w:val="20"/>
                <w:u w:val="single"/>
                <w:lang w:val="zh-CN"/>
              </w:rPr>
              <w:t xml:space="preserve">                             </w:t>
            </w:r>
          </w:p>
          <w:p w:rsidR="00000000" w:rsidRDefault="007C717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/>
                <w:kern w:val="0"/>
                <w:sz w:val="24"/>
                <w:szCs w:val="20"/>
                <w:lang w:val="zh-CN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帐号</w:t>
            </w:r>
            <w:proofErr w:type="gramEnd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：</w:t>
            </w:r>
            <w:r>
              <w:rPr>
                <w:rFonts w:hint="eastAsia"/>
                <w:szCs w:val="20"/>
                <w:u w:val="single"/>
                <w:lang w:val="zh-CN"/>
              </w:rPr>
              <w:t xml:space="preserve">                             </w:t>
            </w:r>
          </w:p>
        </w:tc>
        <w:tc>
          <w:tcPr>
            <w:tcW w:w="4764" w:type="dxa"/>
          </w:tcPr>
          <w:p w:rsidR="00000000" w:rsidRDefault="007C717F">
            <w:pPr>
              <w:pStyle w:val="a3"/>
              <w:widowControl w:val="0"/>
              <w:autoSpaceDE w:val="0"/>
              <w:autoSpaceDN w:val="0"/>
              <w:adjustRightInd w:val="0"/>
              <w:spacing w:beforeLines="100" w:before="240" w:beforeAutospacing="0" w:after="0" w:afterAutospacing="0" w:line="480" w:lineRule="auto"/>
              <w:rPr>
                <w:rFonts w:hAnsi="Times New Roman" w:hint="eastAsia"/>
                <w:szCs w:val="20"/>
                <w:u w:val="single"/>
                <w:lang w:val="zh-CN"/>
              </w:rPr>
            </w:pPr>
            <w:r>
              <w:rPr>
                <w:rFonts w:hint="eastAsia"/>
                <w:szCs w:val="20"/>
                <w:lang w:val="zh-CN"/>
              </w:rPr>
              <w:t>需</w:t>
            </w:r>
            <w:r>
              <w:rPr>
                <w:rFonts w:hAnsi="Times New Roman" w:hint="eastAsia"/>
                <w:szCs w:val="20"/>
                <w:lang w:val="zh-CN"/>
              </w:rPr>
              <w:t>方：</w:t>
            </w:r>
            <w:r>
              <w:rPr>
                <w:rFonts w:hAnsi="Times New Roman" w:hint="eastAsia"/>
                <w:szCs w:val="20"/>
                <w:u w:val="single"/>
                <w:lang w:val="zh-CN"/>
              </w:rPr>
              <w:t xml:space="preserve">                             </w:t>
            </w:r>
          </w:p>
          <w:p w:rsidR="00000000" w:rsidRDefault="007C717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代表：</w:t>
            </w:r>
            <w:r>
              <w:rPr>
                <w:rFonts w:hint="eastAsia"/>
                <w:szCs w:val="20"/>
                <w:u w:val="single"/>
                <w:lang w:val="zh-CN"/>
              </w:rPr>
              <w:t xml:space="preserve">                             </w:t>
            </w:r>
          </w:p>
          <w:p w:rsidR="00000000" w:rsidRDefault="007C717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地址：</w:t>
            </w:r>
            <w:r>
              <w:rPr>
                <w:rFonts w:hint="eastAsia"/>
                <w:szCs w:val="20"/>
                <w:u w:val="single"/>
                <w:lang w:val="zh-CN"/>
              </w:rPr>
              <w:t xml:space="preserve">                             </w:t>
            </w:r>
          </w:p>
          <w:p w:rsidR="00000000" w:rsidRDefault="007C717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电话：</w:t>
            </w:r>
            <w:r>
              <w:rPr>
                <w:rFonts w:hint="eastAsia"/>
                <w:szCs w:val="20"/>
                <w:u w:val="single"/>
                <w:lang w:val="zh-CN"/>
              </w:rPr>
              <w:t xml:space="preserve">                             </w:t>
            </w:r>
          </w:p>
          <w:p w:rsidR="00000000" w:rsidRDefault="007C717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开户银行：</w:t>
            </w:r>
            <w:r>
              <w:rPr>
                <w:rFonts w:hint="eastAsia"/>
                <w:szCs w:val="20"/>
                <w:u w:val="single"/>
                <w:lang w:val="zh-CN"/>
              </w:rPr>
              <w:t xml:space="preserve">                             </w:t>
            </w:r>
          </w:p>
          <w:p w:rsidR="00000000" w:rsidRDefault="007C717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/>
                <w:kern w:val="0"/>
                <w:sz w:val="24"/>
                <w:szCs w:val="20"/>
                <w:lang w:val="zh-CN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帐号</w:t>
            </w:r>
            <w:proofErr w:type="gramEnd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：</w:t>
            </w:r>
            <w:r>
              <w:rPr>
                <w:rFonts w:hint="eastAsia"/>
                <w:szCs w:val="20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Cs w:val="20"/>
                <w:u w:val="single"/>
                <w:lang w:val="zh-CN"/>
              </w:rPr>
              <w:t xml:space="preserve">                         </w:t>
            </w:r>
          </w:p>
        </w:tc>
      </w:tr>
    </w:tbl>
    <w:p w:rsidR="007C717F" w:rsidRDefault="007C717F">
      <w:pPr>
        <w:autoSpaceDE w:val="0"/>
        <w:autoSpaceDN w:val="0"/>
        <w:adjustRightInd w:val="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sectPr w:rsidR="007C71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7F" w:rsidRDefault="007C717F" w:rsidP="00142947">
      <w:r>
        <w:separator/>
      </w:r>
    </w:p>
  </w:endnote>
  <w:endnote w:type="continuationSeparator" w:id="0">
    <w:p w:rsidR="007C717F" w:rsidRDefault="007C717F" w:rsidP="0014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7F" w:rsidRDefault="007C717F" w:rsidP="00142947">
      <w:r>
        <w:separator/>
      </w:r>
    </w:p>
  </w:footnote>
  <w:footnote w:type="continuationSeparator" w:id="0">
    <w:p w:rsidR="007C717F" w:rsidRDefault="007C717F" w:rsidP="0014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76F308A2"/>
    <w:multiLevelType w:val="hybridMultilevel"/>
    <w:tmpl w:val="432670A8"/>
    <w:lvl w:ilvl="0" w:tplc="54802E58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47"/>
    <w:rsid w:val="00142947"/>
    <w:rsid w:val="007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142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294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2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29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142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294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2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29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2024-05-28T08:17:00Z</dcterms:created>
  <dcterms:modified xsi:type="dcterms:W3CDTF">2024-05-28T08:17:00Z</dcterms:modified>
</cp:coreProperties>
</file>